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3624" w:rsidRPr="00B83624" w:rsidRDefault="00B83624" w:rsidP="00B83624">
      <w:pPr>
        <w:spacing w:after="125" w:line="240" w:lineRule="auto"/>
        <w:rPr>
          <w:rFonts w:ascii="Arial" w:eastAsia="Times New Roman" w:hAnsi="Arial" w:cs="Arial"/>
          <w:color w:val="001847"/>
          <w:sz w:val="30"/>
          <w:szCs w:val="30"/>
        </w:rPr>
      </w:pPr>
      <w:r w:rsidRPr="00B83624">
        <w:rPr>
          <w:rFonts w:ascii="Arial" w:eastAsia="Times New Roman" w:hAnsi="Arial" w:cs="Arial"/>
          <w:color w:val="001847"/>
          <w:sz w:val="30"/>
          <w:szCs w:val="30"/>
        </w:rPr>
        <w:t>Police agencies must develop policies for officers which conform to constitutional requirements. Three of the leading U.S. Supreme Court opinions guide interactions between police officers and the people that they contact. Three of the most important cases for law enforcement to not violate are </w:t>
      </w:r>
      <w:r w:rsidRPr="00B83624">
        <w:rPr>
          <w:rFonts w:ascii="Arial" w:eastAsia="Times New Roman" w:hAnsi="Arial" w:cs="Arial"/>
          <w:i/>
          <w:iCs/>
          <w:color w:val="001847"/>
          <w:sz w:val="30"/>
        </w:rPr>
        <w:t>Weeks v. United States</w:t>
      </w:r>
      <w:r w:rsidRPr="00B83624">
        <w:rPr>
          <w:rFonts w:ascii="Arial" w:eastAsia="Times New Roman" w:hAnsi="Arial" w:cs="Arial"/>
          <w:color w:val="001847"/>
          <w:sz w:val="30"/>
          <w:szCs w:val="30"/>
        </w:rPr>
        <w:t> (1914), </w:t>
      </w:r>
      <w:r w:rsidRPr="00B83624">
        <w:rPr>
          <w:rFonts w:ascii="Arial" w:eastAsia="Times New Roman" w:hAnsi="Arial" w:cs="Arial"/>
          <w:i/>
          <w:iCs/>
          <w:color w:val="001847"/>
          <w:sz w:val="30"/>
        </w:rPr>
        <w:t>Miranda v. Arizona</w:t>
      </w:r>
      <w:r w:rsidRPr="00B83624">
        <w:rPr>
          <w:rFonts w:ascii="Arial" w:eastAsia="Times New Roman" w:hAnsi="Arial" w:cs="Arial"/>
          <w:color w:val="001847"/>
          <w:sz w:val="30"/>
          <w:szCs w:val="30"/>
        </w:rPr>
        <w:t> (1966), and </w:t>
      </w:r>
      <w:r w:rsidRPr="00B83624">
        <w:rPr>
          <w:rFonts w:ascii="Arial" w:eastAsia="Times New Roman" w:hAnsi="Arial" w:cs="Arial"/>
          <w:i/>
          <w:iCs/>
          <w:color w:val="001847"/>
          <w:sz w:val="30"/>
        </w:rPr>
        <w:t>Terry v. Ohio</w:t>
      </w:r>
      <w:r w:rsidRPr="00B83624">
        <w:rPr>
          <w:rFonts w:ascii="Arial" w:eastAsia="Times New Roman" w:hAnsi="Arial" w:cs="Arial"/>
          <w:color w:val="001847"/>
          <w:sz w:val="30"/>
          <w:szCs w:val="30"/>
        </w:rPr>
        <w:t> (1968). Prior to beginning work on this assignment, read each of the three listed U.S. Supreme Court cases, </w:t>
      </w:r>
      <w:hyperlink r:id="rId5" w:tgtFrame="_blank" w:tooltip="Miranda v. Arizona" w:history="1">
        <w:r w:rsidRPr="00B83624">
          <w:rPr>
            <w:rFonts w:ascii="Arial" w:eastAsia="Times New Roman" w:hAnsi="Arial" w:cs="Arial"/>
            <w:color w:val="0000FF"/>
            <w:sz w:val="30"/>
            <w:u w:val="single"/>
          </w:rPr>
          <w:t>Miranda v. Arizona (Links to an external site.)</w:t>
        </w:r>
      </w:hyperlink>
      <w:r w:rsidRPr="00B83624">
        <w:rPr>
          <w:rFonts w:ascii="Arial" w:eastAsia="Times New Roman" w:hAnsi="Arial" w:cs="Arial"/>
          <w:color w:val="001847"/>
          <w:sz w:val="30"/>
          <w:szCs w:val="30"/>
          <w:u w:val="single"/>
        </w:rPr>
        <w:t>https://www.oyez.org/cases/1965/</w:t>
      </w:r>
      <w:proofErr w:type="gramStart"/>
      <w:r w:rsidRPr="00B83624">
        <w:rPr>
          <w:rFonts w:ascii="Arial" w:eastAsia="Times New Roman" w:hAnsi="Arial" w:cs="Arial"/>
          <w:color w:val="001847"/>
          <w:sz w:val="30"/>
          <w:szCs w:val="30"/>
          <w:u w:val="single"/>
        </w:rPr>
        <w:t>759 </w:t>
      </w:r>
      <w:r w:rsidRPr="00B83624">
        <w:rPr>
          <w:rFonts w:ascii="Arial" w:eastAsia="Times New Roman" w:hAnsi="Arial" w:cs="Arial"/>
          <w:color w:val="001847"/>
          <w:sz w:val="30"/>
          <w:szCs w:val="30"/>
        </w:rPr>
        <w:t>,</w:t>
      </w:r>
      <w:proofErr w:type="gramEnd"/>
      <w:r w:rsidRPr="00B83624">
        <w:rPr>
          <w:rFonts w:ascii="Arial" w:eastAsia="Times New Roman" w:hAnsi="Arial" w:cs="Arial"/>
          <w:color w:val="001847"/>
          <w:sz w:val="30"/>
          <w:szCs w:val="30"/>
        </w:rPr>
        <w:t xml:space="preserve">  </w:t>
      </w:r>
      <w:hyperlink r:id="rId6" w:tgtFrame="_blank" w:tooltip="Terry v. Ohio" w:history="1">
        <w:r w:rsidRPr="00B83624">
          <w:rPr>
            <w:rFonts w:ascii="Arial" w:eastAsia="Times New Roman" w:hAnsi="Arial" w:cs="Arial"/>
            <w:color w:val="0000FF"/>
            <w:sz w:val="30"/>
            <w:u w:val="single"/>
          </w:rPr>
          <w:t>Terry v. Ohio (Links to an external site.)</w:t>
        </w:r>
      </w:hyperlink>
      <w:r w:rsidRPr="00B83624">
        <w:rPr>
          <w:rFonts w:ascii="Arial" w:eastAsia="Times New Roman" w:hAnsi="Arial" w:cs="Arial"/>
          <w:color w:val="001847"/>
          <w:sz w:val="30"/>
          <w:szCs w:val="30"/>
        </w:rPr>
        <w:t>   https://www.oyez.org/cases/1967/</w:t>
      </w:r>
      <w:proofErr w:type="gramStart"/>
      <w:r w:rsidRPr="00B83624">
        <w:rPr>
          <w:rFonts w:ascii="Arial" w:eastAsia="Times New Roman" w:hAnsi="Arial" w:cs="Arial"/>
          <w:color w:val="001847"/>
          <w:sz w:val="30"/>
          <w:szCs w:val="30"/>
        </w:rPr>
        <w:t>67  And</w:t>
      </w:r>
      <w:proofErr w:type="gramEnd"/>
      <w:r w:rsidRPr="00B83624">
        <w:rPr>
          <w:rFonts w:ascii="Arial" w:eastAsia="Times New Roman" w:hAnsi="Arial" w:cs="Arial"/>
          <w:color w:val="001847"/>
          <w:sz w:val="30"/>
          <w:szCs w:val="30"/>
        </w:rPr>
        <w:t> </w:t>
      </w:r>
      <w:hyperlink r:id="rId7" w:tgtFrame="_blank" w:tooltip="Weeks v. United States" w:history="1">
        <w:r w:rsidRPr="00B83624">
          <w:rPr>
            <w:rFonts w:ascii="Arial" w:eastAsia="Times New Roman" w:hAnsi="Arial" w:cs="Arial"/>
            <w:color w:val="0000FF"/>
            <w:sz w:val="30"/>
            <w:u w:val="single"/>
          </w:rPr>
          <w:t>Weeks v. United States (Links to an external site.)</w:t>
        </w:r>
      </w:hyperlink>
      <w:r w:rsidRPr="00B83624">
        <w:rPr>
          <w:rFonts w:ascii="Arial" w:eastAsia="Times New Roman" w:hAnsi="Arial" w:cs="Arial"/>
          <w:color w:val="001847"/>
          <w:sz w:val="30"/>
          <w:szCs w:val="30"/>
        </w:rPr>
        <w:t>.   https://www.oyez.org/cases/1900-1940/232us383 Law enforcement officers throughout the United States are bound by the Constitution’s intentional limitations on the government’s power. Many people believe that people who have done nothing wrong need no protection; however, the truth is that everyone must be afforded their protections from the Bill of Rights (the first 10 amendments to the Constitution) for every person in the country to be safe from governmental overreaching.</w:t>
      </w:r>
    </w:p>
    <w:p w:rsidR="00B83624" w:rsidRPr="00B83624" w:rsidRDefault="00B83624" w:rsidP="00B83624">
      <w:pPr>
        <w:spacing w:after="125" w:line="240" w:lineRule="auto"/>
        <w:rPr>
          <w:rFonts w:ascii="Arial" w:eastAsia="Times New Roman" w:hAnsi="Arial" w:cs="Arial"/>
          <w:color w:val="001847"/>
          <w:sz w:val="30"/>
          <w:szCs w:val="30"/>
        </w:rPr>
      </w:pPr>
      <w:r w:rsidRPr="00B83624">
        <w:rPr>
          <w:rFonts w:ascii="Arial" w:eastAsia="Times New Roman" w:hAnsi="Arial" w:cs="Arial"/>
          <w:color w:val="001847"/>
          <w:sz w:val="30"/>
          <w:szCs w:val="30"/>
        </w:rPr>
        <w:t>In your 500-word Case Briefs (excluding the title and reference pages), examine each of the cases listed through the provided links. Use at least three scholarly and/or credible sources from the University of Arizona Global Campus Library in addition to the course text with one minimum scholarly and/or credible source per case.</w:t>
      </w:r>
    </w:p>
    <w:p w:rsidR="00B83624" w:rsidRPr="00B83624" w:rsidRDefault="00B83624" w:rsidP="00B83624">
      <w:pPr>
        <w:spacing w:after="125" w:line="240" w:lineRule="auto"/>
        <w:rPr>
          <w:rFonts w:ascii="Arial" w:eastAsia="Times New Roman" w:hAnsi="Arial" w:cs="Arial"/>
          <w:color w:val="001847"/>
          <w:sz w:val="30"/>
          <w:szCs w:val="30"/>
        </w:rPr>
      </w:pPr>
      <w:r w:rsidRPr="00B83624">
        <w:rPr>
          <w:rFonts w:ascii="Arial" w:eastAsia="Times New Roman" w:hAnsi="Arial" w:cs="Arial"/>
          <w:i/>
          <w:iCs/>
          <w:color w:val="001847"/>
          <w:sz w:val="30"/>
        </w:rPr>
        <w:t>*Note: To access the University of Arizona Global Campus Library directly, click on the Writing Center and Library links in your left navigation. Watch the</w:t>
      </w:r>
      <w:r w:rsidRPr="00B83624">
        <w:rPr>
          <w:rFonts w:ascii="Arial" w:eastAsia="Times New Roman" w:hAnsi="Arial" w:cs="Arial"/>
          <w:color w:val="001847"/>
          <w:sz w:val="30"/>
          <w:szCs w:val="30"/>
        </w:rPr>
        <w:t> </w:t>
      </w:r>
      <w:hyperlink r:id="rId8" w:tgtFrame="_blank" w:history="1">
        <w:r w:rsidRPr="00B83624">
          <w:rPr>
            <w:rFonts w:ascii="Arial" w:eastAsia="Times New Roman" w:hAnsi="Arial" w:cs="Arial"/>
            <w:i/>
            <w:iCs/>
            <w:color w:val="0000FF"/>
            <w:sz w:val="30"/>
            <w:u w:val="single"/>
          </w:rPr>
          <w:t>Database Search Tips</w:t>
        </w:r>
        <w:r w:rsidRPr="00B83624">
          <w:rPr>
            <w:rFonts w:ascii="Arial" w:eastAsia="Times New Roman" w:hAnsi="Arial" w:cs="Arial"/>
            <w:color w:val="0000FF"/>
            <w:sz w:val="30"/>
            <w:u w:val="single"/>
          </w:rPr>
          <w:t> (Links to an external site.)</w:t>
        </w:r>
      </w:hyperlink>
      <w:r w:rsidRPr="00B83624">
        <w:rPr>
          <w:rFonts w:ascii="Arial" w:eastAsia="Times New Roman" w:hAnsi="Arial" w:cs="Arial"/>
          <w:color w:val="001847"/>
          <w:sz w:val="30"/>
          <w:szCs w:val="30"/>
        </w:rPr>
        <w:t> </w:t>
      </w:r>
      <w:proofErr w:type="gramStart"/>
      <w:r w:rsidRPr="00B83624">
        <w:rPr>
          <w:rFonts w:ascii="Arial" w:eastAsia="Times New Roman" w:hAnsi="Arial" w:cs="Arial"/>
          <w:i/>
          <w:iCs/>
          <w:color w:val="001847"/>
          <w:sz w:val="30"/>
        </w:rPr>
        <w:t>video</w:t>
      </w:r>
      <w:proofErr w:type="gramEnd"/>
      <w:r w:rsidRPr="00B83624">
        <w:rPr>
          <w:rFonts w:ascii="Arial" w:eastAsia="Times New Roman" w:hAnsi="Arial" w:cs="Arial"/>
          <w:i/>
          <w:iCs/>
          <w:color w:val="001847"/>
          <w:sz w:val="30"/>
        </w:rPr>
        <w:t xml:space="preserve"> for more and see</w:t>
      </w:r>
      <w:r w:rsidRPr="00B83624">
        <w:rPr>
          <w:rFonts w:ascii="Arial" w:eastAsia="Times New Roman" w:hAnsi="Arial" w:cs="Arial"/>
          <w:color w:val="001847"/>
          <w:sz w:val="30"/>
          <w:szCs w:val="30"/>
        </w:rPr>
        <w:t> </w:t>
      </w:r>
      <w:hyperlink r:id="rId9" w:tgtFrame="_blank" w:tooltip="Searching the Ashford University Library.docx" w:history="1">
        <w:r w:rsidRPr="00B83624">
          <w:rPr>
            <w:rFonts w:ascii="Arial" w:eastAsia="Times New Roman" w:hAnsi="Arial" w:cs="Arial"/>
            <w:i/>
            <w:iCs/>
            <w:color w:val="0000FF"/>
            <w:sz w:val="30"/>
            <w:u w:val="single"/>
          </w:rPr>
          <w:t>Searching the University of Arizona Global Campus Library</w:t>
        </w:r>
      </w:hyperlink>
      <w:hyperlink r:id="rId10" w:tgtFrame="_blank" w:history="1">
        <w:r w:rsidRPr="00B83624">
          <w:rPr>
            <w:rFonts w:ascii="Arial" w:eastAsia="Times New Roman" w:hAnsi="Arial" w:cs="Arial"/>
            <w:color w:val="0000FF"/>
            <w:sz w:val="30"/>
          </w:rPr>
          <w:t> </w:t>
        </w:r>
      </w:hyperlink>
      <w:r w:rsidRPr="00B83624">
        <w:rPr>
          <w:rFonts w:ascii="Arial" w:eastAsia="Times New Roman" w:hAnsi="Arial" w:cs="Arial"/>
          <w:color w:val="001847"/>
          <w:sz w:val="30"/>
          <w:szCs w:val="30"/>
        </w:rPr>
        <w:t>For each case,</w:t>
      </w:r>
    </w:p>
    <w:p w:rsidR="00B83624" w:rsidRPr="00B83624" w:rsidRDefault="00B83624" w:rsidP="00B83624">
      <w:pPr>
        <w:numPr>
          <w:ilvl w:val="0"/>
          <w:numId w:val="1"/>
        </w:numPr>
        <w:spacing w:before="100" w:beforeAutospacing="1" w:after="100" w:afterAutospacing="1" w:line="240" w:lineRule="auto"/>
        <w:ind w:left="0"/>
        <w:rPr>
          <w:rFonts w:ascii="Arial" w:eastAsia="Times New Roman" w:hAnsi="Arial" w:cs="Arial"/>
          <w:color w:val="001847"/>
          <w:sz w:val="30"/>
          <w:szCs w:val="30"/>
        </w:rPr>
      </w:pPr>
      <w:r w:rsidRPr="00B83624">
        <w:rPr>
          <w:rFonts w:ascii="Arial" w:eastAsia="Times New Roman" w:hAnsi="Arial" w:cs="Arial"/>
          <w:color w:val="001847"/>
          <w:sz w:val="30"/>
          <w:szCs w:val="30"/>
        </w:rPr>
        <w:t>Summarize the facts of the cases—facts are simply what occurred between the police and the defendants in the case, not legal rulings or findings.</w:t>
      </w:r>
    </w:p>
    <w:p w:rsidR="00B83624" w:rsidRPr="00B83624" w:rsidRDefault="00B83624" w:rsidP="00B83624">
      <w:pPr>
        <w:numPr>
          <w:ilvl w:val="0"/>
          <w:numId w:val="1"/>
        </w:numPr>
        <w:spacing w:before="100" w:beforeAutospacing="1" w:after="100" w:afterAutospacing="1" w:line="240" w:lineRule="auto"/>
        <w:ind w:left="0"/>
        <w:rPr>
          <w:rFonts w:ascii="Arial" w:eastAsia="Times New Roman" w:hAnsi="Arial" w:cs="Arial"/>
          <w:color w:val="001847"/>
          <w:sz w:val="30"/>
          <w:szCs w:val="30"/>
        </w:rPr>
      </w:pPr>
      <w:r w:rsidRPr="00B83624">
        <w:rPr>
          <w:rFonts w:ascii="Arial" w:eastAsia="Times New Roman" w:hAnsi="Arial" w:cs="Arial"/>
          <w:color w:val="001847"/>
          <w:sz w:val="30"/>
          <w:szCs w:val="30"/>
        </w:rPr>
        <w:t>List the constitutional amendment(s) relied upon in the court decisions.</w:t>
      </w:r>
    </w:p>
    <w:p w:rsidR="00B83624" w:rsidRPr="00B83624" w:rsidRDefault="00B83624" w:rsidP="00B83624">
      <w:pPr>
        <w:numPr>
          <w:ilvl w:val="0"/>
          <w:numId w:val="1"/>
        </w:numPr>
        <w:spacing w:before="100" w:beforeAutospacing="1" w:after="100" w:afterAutospacing="1" w:line="240" w:lineRule="auto"/>
        <w:ind w:left="0"/>
        <w:rPr>
          <w:rFonts w:ascii="Arial" w:eastAsia="Times New Roman" w:hAnsi="Arial" w:cs="Arial"/>
          <w:color w:val="001847"/>
          <w:sz w:val="30"/>
          <w:szCs w:val="30"/>
        </w:rPr>
      </w:pPr>
      <w:r w:rsidRPr="00B83624">
        <w:rPr>
          <w:rFonts w:ascii="Arial" w:eastAsia="Times New Roman" w:hAnsi="Arial" w:cs="Arial"/>
          <w:color w:val="001847"/>
          <w:sz w:val="30"/>
          <w:szCs w:val="30"/>
        </w:rPr>
        <w:t>Describe the Supreme Court opinions (what the Supreme Court ruled on the issues for each case).</w:t>
      </w:r>
    </w:p>
    <w:p w:rsidR="00B83624" w:rsidRPr="00B83624" w:rsidRDefault="00B83624" w:rsidP="00B83624">
      <w:pPr>
        <w:numPr>
          <w:ilvl w:val="0"/>
          <w:numId w:val="1"/>
        </w:numPr>
        <w:spacing w:before="100" w:beforeAutospacing="1" w:after="100" w:afterAutospacing="1" w:line="240" w:lineRule="auto"/>
        <w:ind w:left="0"/>
        <w:rPr>
          <w:rFonts w:ascii="Arial" w:eastAsia="Times New Roman" w:hAnsi="Arial" w:cs="Arial"/>
          <w:color w:val="001847"/>
          <w:sz w:val="30"/>
          <w:szCs w:val="30"/>
        </w:rPr>
      </w:pPr>
      <w:r w:rsidRPr="00B83624">
        <w:rPr>
          <w:rFonts w:ascii="Arial" w:eastAsia="Times New Roman" w:hAnsi="Arial" w:cs="Arial"/>
          <w:color w:val="001847"/>
          <w:sz w:val="30"/>
          <w:szCs w:val="30"/>
        </w:rPr>
        <w:lastRenderedPageBreak/>
        <w:t>Analyze whether the Supreme Court’s ruling provides appropriate protections for defendants or results in unnecessary risk to people’s safety.</w:t>
      </w:r>
    </w:p>
    <w:p w:rsidR="00B83624" w:rsidRPr="00B83624" w:rsidRDefault="00B83624" w:rsidP="00B83624">
      <w:pPr>
        <w:numPr>
          <w:ilvl w:val="0"/>
          <w:numId w:val="1"/>
        </w:numPr>
        <w:spacing w:before="100" w:beforeAutospacing="1" w:after="100" w:afterAutospacing="1" w:line="240" w:lineRule="auto"/>
        <w:ind w:left="0"/>
        <w:rPr>
          <w:rFonts w:ascii="Arial" w:eastAsia="Times New Roman" w:hAnsi="Arial" w:cs="Arial"/>
          <w:color w:val="001847"/>
          <w:sz w:val="30"/>
          <w:szCs w:val="30"/>
        </w:rPr>
      </w:pPr>
      <w:r w:rsidRPr="00B83624">
        <w:rPr>
          <w:rFonts w:ascii="Arial" w:eastAsia="Times New Roman" w:hAnsi="Arial" w:cs="Arial"/>
          <w:color w:val="001847"/>
          <w:sz w:val="30"/>
          <w:szCs w:val="30"/>
        </w:rPr>
        <w:t>Explain the implications of the decisions for law enforcement in its investigations.</w:t>
      </w:r>
    </w:p>
    <w:p w:rsidR="00B83624" w:rsidRPr="00B83624" w:rsidRDefault="00B83624" w:rsidP="00B83624">
      <w:pPr>
        <w:spacing w:after="125" w:line="240" w:lineRule="auto"/>
        <w:rPr>
          <w:rFonts w:ascii="Arial" w:eastAsia="Times New Roman" w:hAnsi="Arial" w:cs="Arial"/>
          <w:color w:val="001847"/>
          <w:sz w:val="30"/>
          <w:szCs w:val="30"/>
        </w:rPr>
      </w:pPr>
      <w:r w:rsidRPr="00B83624">
        <w:rPr>
          <w:rFonts w:ascii="Arial" w:eastAsia="Times New Roman" w:hAnsi="Arial" w:cs="Arial"/>
          <w:color w:val="001847"/>
          <w:sz w:val="30"/>
          <w:szCs w:val="30"/>
        </w:rPr>
        <w:t>The Law Enforcement Supreme Court Cases paper</w:t>
      </w:r>
    </w:p>
    <w:p w:rsidR="00B83624" w:rsidRPr="00B83624" w:rsidRDefault="00B83624" w:rsidP="00B83624">
      <w:pPr>
        <w:numPr>
          <w:ilvl w:val="0"/>
          <w:numId w:val="2"/>
        </w:numPr>
        <w:spacing w:before="100" w:beforeAutospacing="1" w:after="100" w:afterAutospacing="1" w:line="240" w:lineRule="auto"/>
        <w:ind w:left="0"/>
        <w:rPr>
          <w:rFonts w:ascii="Arial" w:eastAsia="Times New Roman" w:hAnsi="Arial" w:cs="Arial"/>
          <w:color w:val="001847"/>
          <w:sz w:val="30"/>
          <w:szCs w:val="30"/>
        </w:rPr>
      </w:pPr>
      <w:r w:rsidRPr="00B83624">
        <w:rPr>
          <w:rFonts w:ascii="Arial" w:eastAsia="Times New Roman" w:hAnsi="Arial" w:cs="Arial"/>
          <w:color w:val="001847"/>
          <w:sz w:val="30"/>
          <w:szCs w:val="30"/>
        </w:rPr>
        <w:t>Must be a minimum of 500 words double-spaced pages in length (not including title and references pages) and formatted according to APA style as outlined in the </w:t>
      </w:r>
      <w:hyperlink r:id="rId11" w:tgtFrame="_blank" w:tooltip="Ashford Writing Center" w:history="1">
        <w:r w:rsidRPr="00B83624">
          <w:rPr>
            <w:rFonts w:ascii="Arial" w:eastAsia="Times New Roman" w:hAnsi="Arial" w:cs="Arial"/>
            <w:color w:val="0000FF"/>
            <w:sz w:val="30"/>
            <w:u w:val="single"/>
          </w:rPr>
          <w:t>Writing Center (Links to an external site.)</w:t>
        </w:r>
      </w:hyperlink>
      <w:r w:rsidRPr="00B83624">
        <w:rPr>
          <w:rFonts w:ascii="Arial" w:eastAsia="Times New Roman" w:hAnsi="Arial" w:cs="Arial"/>
          <w:color w:val="001847"/>
          <w:sz w:val="30"/>
          <w:szCs w:val="30"/>
        </w:rPr>
        <w:t>.</w:t>
      </w:r>
    </w:p>
    <w:p w:rsidR="00B83624" w:rsidRPr="00B83624" w:rsidRDefault="00B83624" w:rsidP="00B83624">
      <w:pPr>
        <w:numPr>
          <w:ilvl w:val="0"/>
          <w:numId w:val="2"/>
        </w:numPr>
        <w:spacing w:before="100" w:beforeAutospacing="1" w:after="100" w:afterAutospacing="1" w:line="240" w:lineRule="auto"/>
        <w:ind w:left="0"/>
        <w:rPr>
          <w:rFonts w:ascii="Arial" w:eastAsia="Times New Roman" w:hAnsi="Arial" w:cs="Arial"/>
          <w:color w:val="001847"/>
          <w:sz w:val="30"/>
          <w:szCs w:val="30"/>
        </w:rPr>
      </w:pPr>
      <w:r w:rsidRPr="00B83624">
        <w:rPr>
          <w:rFonts w:ascii="Arial" w:eastAsia="Times New Roman" w:hAnsi="Arial" w:cs="Arial"/>
          <w:color w:val="001847"/>
          <w:sz w:val="30"/>
          <w:szCs w:val="30"/>
        </w:rPr>
        <w:t>Must include a separate title page with the following:</w:t>
      </w:r>
    </w:p>
    <w:p w:rsidR="00B83624" w:rsidRPr="00B83624" w:rsidRDefault="00B83624" w:rsidP="00B83624">
      <w:pPr>
        <w:numPr>
          <w:ilvl w:val="1"/>
          <w:numId w:val="2"/>
        </w:numPr>
        <w:spacing w:before="100" w:beforeAutospacing="1" w:after="100" w:afterAutospacing="1" w:line="240" w:lineRule="auto"/>
        <w:ind w:left="0"/>
        <w:rPr>
          <w:rFonts w:ascii="Arial" w:eastAsia="Times New Roman" w:hAnsi="Arial" w:cs="Arial"/>
          <w:color w:val="001847"/>
          <w:sz w:val="30"/>
          <w:szCs w:val="30"/>
        </w:rPr>
      </w:pPr>
      <w:r w:rsidRPr="00B83624">
        <w:rPr>
          <w:rFonts w:ascii="Arial" w:eastAsia="Times New Roman" w:hAnsi="Arial" w:cs="Arial"/>
          <w:color w:val="001847"/>
          <w:sz w:val="30"/>
          <w:szCs w:val="30"/>
        </w:rPr>
        <w:t>Title of paper</w:t>
      </w:r>
    </w:p>
    <w:p w:rsidR="00B83624" w:rsidRPr="00B83624" w:rsidRDefault="00B83624" w:rsidP="00B83624">
      <w:pPr>
        <w:numPr>
          <w:ilvl w:val="1"/>
          <w:numId w:val="2"/>
        </w:numPr>
        <w:spacing w:before="100" w:beforeAutospacing="1" w:after="100" w:afterAutospacing="1" w:line="240" w:lineRule="auto"/>
        <w:ind w:left="0"/>
        <w:rPr>
          <w:rFonts w:ascii="Arial" w:eastAsia="Times New Roman" w:hAnsi="Arial" w:cs="Arial"/>
          <w:color w:val="001847"/>
          <w:sz w:val="30"/>
          <w:szCs w:val="30"/>
        </w:rPr>
      </w:pPr>
      <w:r w:rsidRPr="00B83624">
        <w:rPr>
          <w:rFonts w:ascii="Arial" w:eastAsia="Times New Roman" w:hAnsi="Arial" w:cs="Arial"/>
          <w:color w:val="001847"/>
          <w:sz w:val="30"/>
          <w:szCs w:val="30"/>
        </w:rPr>
        <w:t>Student’s name</w:t>
      </w:r>
    </w:p>
    <w:p w:rsidR="00B83624" w:rsidRPr="00B83624" w:rsidRDefault="00B83624" w:rsidP="00B83624">
      <w:pPr>
        <w:numPr>
          <w:ilvl w:val="1"/>
          <w:numId w:val="2"/>
        </w:numPr>
        <w:spacing w:before="100" w:beforeAutospacing="1" w:after="100" w:afterAutospacing="1" w:line="240" w:lineRule="auto"/>
        <w:ind w:left="0"/>
        <w:rPr>
          <w:rFonts w:ascii="Arial" w:eastAsia="Times New Roman" w:hAnsi="Arial" w:cs="Arial"/>
          <w:color w:val="001847"/>
          <w:sz w:val="30"/>
          <w:szCs w:val="30"/>
        </w:rPr>
      </w:pPr>
      <w:r w:rsidRPr="00B83624">
        <w:rPr>
          <w:rFonts w:ascii="Arial" w:eastAsia="Times New Roman" w:hAnsi="Arial" w:cs="Arial"/>
          <w:color w:val="001847"/>
          <w:sz w:val="30"/>
          <w:szCs w:val="30"/>
        </w:rPr>
        <w:t>Course name and number</w:t>
      </w:r>
    </w:p>
    <w:p w:rsidR="00B83624" w:rsidRPr="00B83624" w:rsidRDefault="00B83624" w:rsidP="00B83624">
      <w:pPr>
        <w:numPr>
          <w:ilvl w:val="1"/>
          <w:numId w:val="2"/>
        </w:numPr>
        <w:spacing w:before="100" w:beforeAutospacing="1" w:after="100" w:afterAutospacing="1" w:line="240" w:lineRule="auto"/>
        <w:ind w:left="0"/>
        <w:rPr>
          <w:rFonts w:ascii="Arial" w:eastAsia="Times New Roman" w:hAnsi="Arial" w:cs="Arial"/>
          <w:color w:val="001847"/>
          <w:sz w:val="30"/>
          <w:szCs w:val="30"/>
        </w:rPr>
      </w:pPr>
      <w:r w:rsidRPr="00B83624">
        <w:rPr>
          <w:rFonts w:ascii="Arial" w:eastAsia="Times New Roman" w:hAnsi="Arial" w:cs="Arial"/>
          <w:color w:val="001847"/>
          <w:sz w:val="30"/>
          <w:szCs w:val="30"/>
        </w:rPr>
        <w:t>Instructor’s name</w:t>
      </w:r>
    </w:p>
    <w:p w:rsidR="00B83624" w:rsidRPr="00B83624" w:rsidRDefault="00B83624" w:rsidP="00B83624">
      <w:pPr>
        <w:numPr>
          <w:ilvl w:val="1"/>
          <w:numId w:val="2"/>
        </w:numPr>
        <w:spacing w:before="100" w:beforeAutospacing="1" w:after="100" w:afterAutospacing="1" w:line="240" w:lineRule="auto"/>
        <w:ind w:left="0"/>
        <w:rPr>
          <w:rFonts w:ascii="Arial" w:eastAsia="Times New Roman" w:hAnsi="Arial" w:cs="Arial"/>
          <w:color w:val="001847"/>
          <w:sz w:val="30"/>
          <w:szCs w:val="30"/>
        </w:rPr>
      </w:pPr>
      <w:r w:rsidRPr="00B83624">
        <w:rPr>
          <w:rFonts w:ascii="Arial" w:eastAsia="Times New Roman" w:hAnsi="Arial" w:cs="Arial"/>
          <w:color w:val="001847"/>
          <w:sz w:val="30"/>
          <w:szCs w:val="30"/>
        </w:rPr>
        <w:t>Date submitted</w:t>
      </w:r>
    </w:p>
    <w:p w:rsidR="00EE503F" w:rsidRDefault="00EE503F"/>
    <w:sectPr w:rsidR="00EE503F" w:rsidSect="00EE503F">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802719C"/>
    <w:multiLevelType w:val="multilevel"/>
    <w:tmpl w:val="51BE81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7F0B2F05"/>
    <w:multiLevelType w:val="multilevel"/>
    <w:tmpl w:val="19FC43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grammar="clean"/>
  <w:defaultTabStop w:val="720"/>
  <w:characterSpacingControl w:val="doNotCompress"/>
  <w:compat/>
  <w:rsids>
    <w:rsidRoot w:val="00B83624"/>
    <w:rsid w:val="00B83624"/>
    <w:rsid w:val="00EE503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503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B83624"/>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B83624"/>
    <w:rPr>
      <w:i/>
      <w:iCs/>
    </w:rPr>
  </w:style>
  <w:style w:type="character" w:styleId="Hyperlink">
    <w:name w:val="Hyperlink"/>
    <w:basedOn w:val="DefaultParagraphFont"/>
    <w:uiPriority w:val="99"/>
    <w:semiHidden/>
    <w:unhideWhenUsed/>
    <w:rsid w:val="00B83624"/>
    <w:rPr>
      <w:color w:val="0000FF"/>
      <w:u w:val="single"/>
    </w:rPr>
  </w:style>
</w:styles>
</file>

<file path=word/webSettings.xml><?xml version="1.0" encoding="utf-8"?>
<w:webSettings xmlns:r="http://schemas.openxmlformats.org/officeDocument/2006/relationships" xmlns:w="http://schemas.openxmlformats.org/wordprocessingml/2006/main">
  <w:divs>
    <w:div w:id="761922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ashford.mediaspace.kaltura.com/media/Database+Search+Tips/0_vj8u97hi"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oyez.org/cases/1900-1940/232us383"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oyez.org/cases/1967/67" TargetMode="External"/><Relationship Id="rId11" Type="http://schemas.openxmlformats.org/officeDocument/2006/relationships/hyperlink" Target="https://writingcenter.ashford.edu/" TargetMode="External"/><Relationship Id="rId5" Type="http://schemas.openxmlformats.org/officeDocument/2006/relationships/hyperlink" Target="https://www.oyez.org/cases/1965/759" TargetMode="External"/><Relationship Id="rId10" Type="http://schemas.openxmlformats.org/officeDocument/2006/relationships/hyperlink" Target="https://ashford.instructure.com/courses/83284/files/15276022/download?download_frd=1" TargetMode="External"/><Relationship Id="rId4" Type="http://schemas.openxmlformats.org/officeDocument/2006/relationships/webSettings" Target="webSettings.xml"/><Relationship Id="rId9" Type="http://schemas.openxmlformats.org/officeDocument/2006/relationships/hyperlink" Target="https://ashford.instructure.com/courses/83284/files/15276022/?wrap=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519</Words>
  <Characters>2962</Characters>
  <Application>Microsoft Office Word</Application>
  <DocSecurity>0</DocSecurity>
  <Lines>24</Lines>
  <Paragraphs>6</Paragraphs>
  <ScaleCrop>false</ScaleCrop>
  <Company/>
  <LinksUpToDate>false</LinksUpToDate>
  <CharactersWithSpaces>3475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Pratishtha Sharma</dc:creator>
  <cp:lastModifiedBy>Pratishtha Sharma</cp:lastModifiedBy>
  <cp:revision>1</cp:revision>
  <dcterms:created xsi:type="dcterms:W3CDTF">2021-05-10T04:50:00Z</dcterms:created>
  <dcterms:modified xsi:type="dcterms:W3CDTF">2021-05-10T04:50:00Z</dcterms:modified>
</cp:coreProperties>
</file>